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2C" w:rsidRDefault="000E646D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554"/>
        </w:tabs>
        <w:spacing w:after="16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b/>
          <w:i/>
          <w:color w:val="1F497D"/>
          <w:sz w:val="20"/>
        </w:rPr>
        <w:t xml:space="preserve">Załącznik nr 1.5 do Zarządzenia Rektora UR nr 12/2019 </w:t>
      </w:r>
      <w:r>
        <w:t xml:space="preserve"> </w:t>
      </w:r>
    </w:p>
    <w:p w:rsidR="00BE572C" w:rsidRDefault="000E646D">
      <w:pPr>
        <w:spacing w:after="217"/>
      </w:pPr>
      <w:r>
        <w:rPr>
          <w:rFonts w:ascii="Corbel" w:eastAsia="Corbel" w:hAnsi="Corbel" w:cs="Corbel"/>
          <w:b/>
          <w:i/>
          <w:color w:val="1F497D"/>
          <w:sz w:val="20"/>
        </w:rPr>
        <w:t xml:space="preserve"> </w:t>
      </w:r>
    </w:p>
    <w:p w:rsidR="00BE572C" w:rsidRDefault="000E646D">
      <w:pPr>
        <w:pStyle w:val="Nagwek1"/>
      </w:pPr>
      <w:r>
        <w:t xml:space="preserve">SYLABUS </w:t>
      </w:r>
    </w:p>
    <w:p w:rsidR="00BE572C" w:rsidRDefault="000E646D">
      <w:pPr>
        <w:pStyle w:val="Nagwek2"/>
        <w:ind w:left="3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2020</w:t>
      </w:r>
      <w:r>
        <w:rPr>
          <w:b w:val="0"/>
          <w:i/>
          <w:sz w:val="24"/>
        </w:rPr>
        <w:t>-2023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49" w:line="228" w:lineRule="auto"/>
        <w:ind w:right="3249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  <w: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color w:val="0070C0"/>
          <w:sz w:val="24"/>
        </w:rPr>
        <w:t>1.</w:t>
      </w:r>
      <w:r>
        <w:rPr>
          <w:rFonts w:ascii="Corbel" w:eastAsia="Corbel" w:hAnsi="Corbel" w:cs="Corbel"/>
          <w:b/>
          <w:color w:val="0070C0"/>
          <w:sz w:val="19"/>
        </w:rPr>
        <w:t xml:space="preserve"> </w:t>
      </w:r>
      <w:r>
        <w:rPr>
          <w:rFonts w:ascii="Corbel" w:eastAsia="Corbel" w:hAnsi="Corbel" w:cs="Corbel"/>
          <w:b/>
          <w:color w:val="0070C0"/>
          <w:sz w:val="24"/>
        </w:rPr>
        <w:t>P</w:t>
      </w:r>
      <w:r>
        <w:rPr>
          <w:rFonts w:ascii="Corbel" w:eastAsia="Corbel" w:hAnsi="Corbel" w:cs="Corbel"/>
          <w:b/>
          <w:color w:val="0070C0"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>/</w:t>
      </w:r>
      <w:r>
        <w:rPr>
          <w:rFonts w:ascii="Corbel" w:eastAsia="Corbel" w:hAnsi="Corbel" w:cs="Corbel"/>
          <w:b/>
          <w:color w:val="0070C0"/>
          <w:sz w:val="19"/>
        </w:rPr>
        <w:t xml:space="preserve">MODULE 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92" w:type="dxa"/>
        <w:tblInd w:w="-250" w:type="dxa"/>
        <w:tblCellMar>
          <w:top w:w="18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99"/>
      </w:tblGrid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Historia kobiet w perspektywie społecznej 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KM57 </w:t>
            </w:r>
          </w:p>
        </w:tc>
      </w:tr>
      <w:tr w:rsidR="00BE572C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Humanistycznych</w:t>
            </w:r>
            <w:bookmarkStart w:id="0" w:name="_GoBack"/>
            <w:bookmarkEnd w:id="0"/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Instytut Filozofii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E572C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III rok, sem. 6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fakultatywny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język polski (angielski)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dr Adam Kubiak </w:t>
            </w:r>
          </w:p>
        </w:tc>
      </w:tr>
      <w:tr w:rsidR="00BE572C">
        <w:trPr>
          <w:trHeight w:val="9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Adam Kubiak </w:t>
            </w:r>
          </w:p>
        </w:tc>
      </w:tr>
    </w:tbl>
    <w:p w:rsidR="00BE572C" w:rsidRDefault="000E646D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294"/>
      </w:pPr>
      <w:r>
        <w:t xml:space="preserve">1.1.Formy zajęć dydaktycznych, wymiar godzin i punktów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58" w:type="dxa"/>
        <w:tblInd w:w="-216" w:type="dxa"/>
        <w:tblCellMar>
          <w:top w:w="54" w:type="dxa"/>
          <w:left w:w="106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3"/>
        <w:gridCol w:w="811"/>
        <w:gridCol w:w="826"/>
        <w:gridCol w:w="780"/>
        <w:gridCol w:w="958"/>
        <w:gridCol w:w="1207"/>
        <w:gridCol w:w="1553"/>
      </w:tblGrid>
      <w:tr w:rsidR="00BE572C">
        <w:trPr>
          <w:trHeight w:val="836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9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E572C" w:rsidRDefault="000E646D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10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E572C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694" w:right="592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 xml:space="preserve">X </w:t>
      </w:r>
      <w:r>
        <w:rPr>
          <w:rFonts w:ascii="Corbel" w:eastAsia="Corbel" w:hAnsi="Corbel" w:cs="Corbel"/>
          <w:sz w:val="24"/>
        </w:rPr>
        <w:t xml:space="preserve"> zajęcia w formie tradycyjnej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  <w:ind w:right="15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>zajęcia realizowane z wykorzystaniem metod i technik kształcenia na odległość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BE572C" w:rsidRDefault="000E646D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25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</w:pPr>
      <w:r>
        <w:rPr>
          <w:rFonts w:ascii="Corbel" w:eastAsia="Corbel" w:hAnsi="Corbel" w:cs="Corbel"/>
          <w:sz w:val="24"/>
        </w:rPr>
        <w:t xml:space="preserve">Znajomość historii powszechnej na poziomie szkoły średniej  </w:t>
      </w:r>
    </w:p>
    <w:p w:rsidR="00BE572C" w:rsidRDefault="000E646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370"/>
      </w:pPr>
      <w:r>
        <w:t xml:space="preserve">3.1 Cele przedmiotu/modułu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89" w:type="dxa"/>
        <w:tblInd w:w="-216" w:type="dxa"/>
        <w:tblCellMar>
          <w:top w:w="48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89"/>
      </w:tblGrid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t xml:space="preserve">C-01 </w:t>
            </w:r>
            <w:r>
              <w:rPr>
                <w:rFonts w:ascii="Arial" w:eastAsia="Arial" w:hAnsi="Arial" w:cs="Arial"/>
                <w:sz w:val="20"/>
              </w:rPr>
              <w:t>student opanowuje wiedzę na temat sytuacji kobiet w społeczeństwach na przestrzeni wieków</w:t>
            </w:r>
            <w:r>
              <w:t xml:space="preserve"> </w:t>
            </w:r>
          </w:p>
        </w:tc>
      </w:tr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t>C-02 studen zna różnice kulturowe w relacjach kobieta-społeczeństwo w różnych okresach historycznych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>)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81" w:type="dxa"/>
        <w:tblInd w:w="-103" w:type="dxa"/>
        <w:tblCellMar>
          <w:top w:w="54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82"/>
      </w:tblGrid>
      <w:tr w:rsidR="00BE572C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E572C" w:rsidRDefault="000E646D">
            <w:pPr>
              <w:spacing w:after="0"/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EK_W01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49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ZNA UWARUNKOWANIA SPOŁECZNE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KULTUROWE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OBYCZAJOWE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PRAWNE </w:t>
            </w:r>
            <w:r>
              <w:rPr>
                <w:rFonts w:ascii="Arial" w:eastAsia="Arial" w:hAnsi="Arial" w:cs="Arial"/>
                <w:b/>
                <w:sz w:val="20"/>
              </w:rPr>
              <w:t>-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SYTUACJI KOBIET W </w:t>
            </w:r>
            <w:r>
              <w:rPr>
                <w:rFonts w:ascii="Arial" w:eastAsia="Arial" w:hAnsi="Arial" w:cs="Arial"/>
                <w:b/>
                <w:sz w:val="20"/>
              </w:rPr>
              <w:t>XIX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EK_U01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52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TUDENT POTRAFI ANALIZOWAĆ I INTERPRETOWAĆ ŹRÓDŁA ZWIĄZANE </w:t>
            </w:r>
          </w:p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Z DZIAŁALNOŚCIĄ KOBIET W WYBRANYCH OKRESACH HISTORYCZNYCH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EK_K01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MA ŚWIADOMOŚĆ ISTNIENIA RÓŻNIC KULTUROWYCH I ŚWIATOPOGLĄDOWYCH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438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E572C" w:rsidRDefault="000E646D">
      <w:pPr>
        <w:spacing w:after="0" w:line="250" w:lineRule="auto"/>
        <w:ind w:left="1090" w:hanging="1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092" w:type="dxa"/>
        <w:tblInd w:w="34" w:type="dxa"/>
        <w:tblCellMar>
          <w:top w:w="5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092"/>
      </w:tblGrid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Treści merytoryczne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Male Gaze, male writing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i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Starozytne modele funkcjonowania kobiet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Średniowiecze europejskie (zachodnie) i renesans włoski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Oświecenie i nowe/stare role kobiece, rola nowego modelu państwa i społeczeństwa w dyscyplinowaniu „żeńskiego fermentu”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Wiek pary, elektryczności i sufrażystek, rola technologii</w:t>
            </w:r>
            <w: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Europejska i amerykańska emancypacja wymuszona wiek XX</w:t>
            </w:r>
            <w:r>
              <w:t xml:space="preserve"> </w:t>
            </w:r>
          </w:p>
        </w:tc>
      </w:tr>
      <w:tr w:rsidR="00BE572C">
        <w:trPr>
          <w:trHeight w:val="596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Powojenne dyskursy emancypacyjne i kontremancypacyjne, feminizm(y) i reakcja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Żeńskość i nowoczesność XXI wieku – tożsamość, identyfikacja, dyscyplina i opór, 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analiza tekstów z dyskusją, praca w grupach, elementy wykładu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21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4. METODY I KRYTERIA OCENY  </w:t>
      </w:r>
    </w:p>
    <w:p w:rsidR="00BE572C" w:rsidRDefault="000E646D">
      <w:pPr>
        <w:pStyle w:val="Nagwek4"/>
        <w:ind w:left="438"/>
      </w:pPr>
      <w:r>
        <w:t xml:space="preserve">4.1 Sposoby weryfikacji efektów kształcenia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5"/>
        <w:gridCol w:w="2137"/>
      </w:tblGrid>
      <w:tr w:rsidR="00BE572C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E572C" w:rsidRDefault="000E646D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E572C" w:rsidRDefault="000E646D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E572C" w:rsidRDefault="000E646D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BE572C">
        <w:trPr>
          <w:trHeight w:val="5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KTYWNA DYSKUCJA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PRACA Z CASE STUDIES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MIKROESEJ FINALNY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4"/>
        <w:ind w:left="438"/>
      </w:pPr>
      <w:r>
        <w:t xml:space="preserve">4.2 Warunki zaliczenia przedmiotu (kryteria oceniania)  </w:t>
      </w:r>
    </w:p>
    <w:p w:rsidR="00BE572C" w:rsidRDefault="000E646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0"/>
        <w:ind w:left="-15" w:right="2953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Wykonanie wszystkich wyznaczonych zadań wraz z aktywnością na zajęciach jest podstawa zaliczenia przedmiotu. Aktywne uczestnictwo w zajęciach:30%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Zadania: 40%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Esej finalny:30%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88"/>
      </w:tblGrid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E572C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godz. </w:t>
            </w:r>
          </w:p>
        </w:tc>
      </w:tr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 godz. </w:t>
            </w:r>
          </w:p>
        </w:tc>
      </w:tr>
      <w:tr w:rsidR="00BE572C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24 godz. </w:t>
            </w:r>
          </w:p>
        </w:tc>
      </w:tr>
      <w:tr w:rsidR="00BE572C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E572C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 w:line="240" w:lineRule="auto"/>
        <w:ind w:left="428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6. PRAKTYKI ZAWODOWE W RAMACH PRZEDMIOTU/ 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25" w:type="dxa"/>
        <w:tblInd w:w="459" w:type="dxa"/>
        <w:tblCellMar>
          <w:top w:w="57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80"/>
      </w:tblGrid>
      <w:tr w:rsidR="00BE572C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 w:line="240" w:lineRule="auto"/>
        <w:ind w:right="9587"/>
        <w:jc w:val="both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7. LITERATURA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459" w:type="dxa"/>
        <w:tblCellMar>
          <w:top w:w="2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26"/>
        <w:gridCol w:w="8464"/>
      </w:tblGrid>
      <w:tr w:rsidR="00BE572C">
        <w:trPr>
          <w:trHeight w:val="1606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Literatura podstawowa: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numPr>
                <w:ilvl w:val="0"/>
                <w:numId w:val="1"/>
              </w:numPr>
              <w:spacing w:after="63" w:line="247" w:lineRule="auto"/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B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OGUCKA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G</w:t>
            </w:r>
            <w:r>
              <w:rPr>
                <w:rFonts w:ascii="Arial" w:eastAsia="Arial" w:hAnsi="Arial" w:cs="Arial"/>
                <w:b/>
                <w:sz w:val="16"/>
              </w:rPr>
              <w:t>ORSZA PŁEĆ</w:t>
            </w:r>
            <w:r>
              <w:rPr>
                <w:rFonts w:ascii="Arial" w:eastAsia="Arial" w:hAnsi="Arial" w:cs="Arial"/>
                <w:b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K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OBIETA W DZIEJACH </w:t>
            </w:r>
            <w:r>
              <w:rPr>
                <w:rFonts w:ascii="Arial" w:eastAsia="Arial" w:hAnsi="Arial" w:cs="Arial"/>
                <w:b/>
                <w:sz w:val="20"/>
              </w:rPr>
              <w:t>E</w:t>
            </w:r>
            <w:r>
              <w:rPr>
                <w:rFonts w:ascii="Arial" w:eastAsia="Arial" w:hAnsi="Arial" w:cs="Arial"/>
                <w:b/>
                <w:sz w:val="16"/>
              </w:rPr>
              <w:t xml:space="preserve">UROPY OD ANTYKU PO WIEK </w:t>
            </w:r>
            <w:r>
              <w:rPr>
                <w:rFonts w:ascii="Arial" w:eastAsia="Arial" w:hAnsi="Arial" w:cs="Arial"/>
                <w:b/>
                <w:sz w:val="20"/>
              </w:rPr>
              <w:t>XXI,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W</w:t>
            </w:r>
            <w:r>
              <w:rPr>
                <w:rFonts w:ascii="Arial" w:eastAsia="Arial" w:hAnsi="Arial" w:cs="Arial"/>
                <w:b/>
                <w:sz w:val="16"/>
              </w:rPr>
              <w:t xml:space="preserve">ARSZAWA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2006. </w:t>
            </w:r>
          </w:p>
          <w:p w:rsidR="00BE572C" w:rsidRDefault="000E646D">
            <w:pPr>
              <w:numPr>
                <w:ilvl w:val="0"/>
                <w:numId w:val="1"/>
              </w:numPr>
              <w:spacing w:after="0"/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C</w:t>
            </w:r>
            <w:r>
              <w:rPr>
                <w:rFonts w:ascii="Arial" w:eastAsia="Arial" w:hAnsi="Arial" w:cs="Arial"/>
                <w:b/>
                <w:sz w:val="16"/>
              </w:rPr>
              <w:t xml:space="preserve">IECHOMSKA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16"/>
              </w:rPr>
              <w:t>D MATRIARCHATU DO FEMINIZMU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P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OZNAŃ </w:t>
            </w:r>
            <w:r>
              <w:rPr>
                <w:rFonts w:ascii="Arial" w:eastAsia="Arial" w:hAnsi="Arial" w:cs="Arial"/>
                <w:b/>
                <w:sz w:val="20"/>
              </w:rPr>
              <w:t>1996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10468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9"/>
            </w:pPr>
            <w: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E572C" w:rsidRDefault="000E646D">
            <w:pPr>
              <w:spacing w:after="2" w:line="236" w:lineRule="auto"/>
            </w:pPr>
            <w:r>
              <w:rPr>
                <w:rFonts w:ascii="Times New Roman" w:eastAsia="Times New Roman" w:hAnsi="Times New Roman" w:cs="Times New Roman"/>
              </w:rPr>
              <w:t xml:space="preserve">Aries Ph. (1996) </w:t>
            </w:r>
            <w:r>
              <w:rPr>
                <w:rFonts w:ascii="Times New Roman" w:eastAsia="Times New Roman" w:hAnsi="Times New Roman" w:cs="Times New Roman"/>
                <w:i/>
              </w:rPr>
              <w:t>Historia dzieciństwa: Dziecko i rodzina w dawnych czasach</w:t>
            </w:r>
            <w:r>
              <w:rPr>
                <w:rFonts w:ascii="Times New Roman" w:eastAsia="Times New Roman" w:hAnsi="Times New Roman" w:cs="Times New Roman"/>
              </w:rPr>
              <w:t xml:space="preserve">. Tłum. M. Ochab, „Marabut” Gdańsk </w:t>
            </w:r>
          </w:p>
          <w:p w:rsidR="00BE572C" w:rsidRDefault="000E646D">
            <w:pPr>
              <w:spacing w:after="25"/>
            </w:pPr>
            <w:r>
              <w:rPr>
                <w:rFonts w:ascii="Times New Roman" w:eastAsia="Times New Roman" w:hAnsi="Times New Roman" w:cs="Times New Roman"/>
              </w:rPr>
              <w:t xml:space="preserve">Bechter G. (2001) Cztery kobiety Boga. Ladacznica, czarownica, święta, głupia gęś. Warszawa: </w:t>
            </w:r>
          </w:p>
          <w:p w:rsidR="00BE572C" w:rsidRDefault="000E646D">
            <w:pPr>
              <w:spacing w:after="11"/>
            </w:pPr>
            <w:r>
              <w:rPr>
                <w:rFonts w:ascii="Times New Roman" w:eastAsia="Times New Roman" w:hAnsi="Times New Roman" w:cs="Times New Roman"/>
              </w:rPr>
              <w:t>Wydawnictwo Akademickie DIALOG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14"/>
            </w:pPr>
            <w:r>
              <w:rPr>
                <w:rFonts w:ascii="Times New Roman" w:eastAsia="Times New Roman" w:hAnsi="Times New Roman" w:cs="Times New Roman"/>
              </w:rPr>
              <w:t xml:space="preserve">Benedict, R. (2002) </w:t>
            </w:r>
            <w:r>
              <w:rPr>
                <w:rFonts w:ascii="Times New Roman" w:eastAsia="Times New Roman" w:hAnsi="Times New Roman" w:cs="Times New Roman"/>
                <w:i/>
              </w:rPr>
              <w:t>Wzory kultury</w:t>
            </w:r>
            <w:r>
              <w:rPr>
                <w:rFonts w:ascii="Times New Roman" w:eastAsia="Times New Roman" w:hAnsi="Times New Roman" w:cs="Times New Roman"/>
              </w:rPr>
              <w:t>, Wa</w:t>
            </w:r>
            <w:r>
              <w:rPr>
                <w:rFonts w:ascii="Times New Roman" w:eastAsia="Times New Roman" w:hAnsi="Times New Roman" w:cs="Times New Roman"/>
              </w:rPr>
              <w:t xml:space="preserve">rszawskie Wydawnictwo Literackie Muza S.A., Warszawa  </w:t>
            </w:r>
          </w:p>
          <w:p w:rsidR="00BE572C" w:rsidRDefault="000E646D">
            <w:pPr>
              <w:spacing w:after="8" w:line="271" w:lineRule="auto"/>
            </w:pPr>
            <w:r>
              <w:rPr>
                <w:rFonts w:ascii="Times New Roman" w:eastAsia="Times New Roman" w:hAnsi="Times New Roman" w:cs="Times New Roman"/>
              </w:rPr>
              <w:t xml:space="preserve">Bobako M., (2005) </w:t>
            </w:r>
            <w:r>
              <w:rPr>
                <w:rFonts w:ascii="Times New Roman" w:eastAsia="Times New Roman" w:hAnsi="Times New Roman" w:cs="Times New Roman"/>
                <w:i/>
              </w:rPr>
              <w:t>Powrót kobiet do historii – niedokończony projekt?,</w:t>
            </w:r>
            <w:r>
              <w:rPr>
                <w:rFonts w:ascii="Times New Roman" w:eastAsia="Times New Roman" w:hAnsi="Times New Roman" w:cs="Times New Roman"/>
              </w:rPr>
              <w:t xml:space="preserve"> „Krytyka Polityczna” nr 7/8,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 xml:space="preserve">https://www.academia.edu/1324360/Powr%C3%B3t_kobiet_do_historii_niedoko%C5%84czony_proj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ekt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22"/>
            </w:pPr>
            <w:r>
              <w:rPr>
                <w:rFonts w:ascii="Times New Roman" w:eastAsia="Times New Roman" w:hAnsi="Times New Roman" w:cs="Times New Roman"/>
              </w:rPr>
              <w:t>Bourdieu P. (2004) Męska dominacja, Warszawa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Pr="000E646D" w:rsidRDefault="000E646D">
            <w:pPr>
              <w:spacing w:after="11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Duby G. (2000) Damy XII wieku.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Warszawa: S. W. Czytelnik, </w:t>
            </w:r>
            <w:r w:rsidRPr="000E646D">
              <w:rPr>
                <w:rFonts w:ascii="Corbel" w:eastAsia="Corbel" w:hAnsi="Corbel" w:cs="Corbel"/>
                <w:lang w:val="en-GB"/>
              </w:rPr>
              <w:t xml:space="preserve"> </w:t>
            </w:r>
          </w:p>
          <w:p w:rsidR="00BE572C" w:rsidRPr="000E646D" w:rsidRDefault="000E646D">
            <w:pPr>
              <w:spacing w:after="23" w:line="239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>Goc N, (2007), ‘Monstrous Mother’ and the Media, [w:] Monsters And The Monstrous: Myths and Metaphors of End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uring Evil, (red). N. Scott, Amsterdam-New York, s. 149-167; online: </w:t>
            </w:r>
          </w:p>
          <w:p w:rsidR="00BE572C" w:rsidRPr="000E646D" w:rsidRDefault="000E646D">
            <w:pPr>
              <w:spacing w:after="0"/>
              <w:rPr>
                <w:lang w:val="en-GB"/>
              </w:rPr>
            </w:pPr>
            <w:hyperlink r:id="rId8">
              <w:r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9">
              <w:r w:rsidRPr="000E646D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spacing w:after="0" w:line="268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Mead M. (1928) </w:t>
            </w:r>
            <w:r w:rsidRPr="000E646D">
              <w:rPr>
                <w:rFonts w:ascii="Times New Roman" w:eastAsia="Times New Roman" w:hAnsi="Times New Roman" w:cs="Times New Roman"/>
                <w:i/>
                <w:lang w:val="en-GB"/>
              </w:rPr>
              <w:t>Coming of age in Samoa; a psyc</w:t>
            </w:r>
            <w:r w:rsidRPr="000E646D">
              <w:rPr>
                <w:rFonts w:ascii="Times New Roman" w:eastAsia="Times New Roman" w:hAnsi="Times New Roman" w:cs="Times New Roman"/>
                <w:i/>
                <w:lang w:val="en-GB"/>
              </w:rPr>
              <w:t>hological study of primitive youth for western civilisation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, </w:t>
            </w:r>
            <w:hyperlink r:id="rId10">
              <w:r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https://archive.org/details/comingofageinsam00mead/page/n13/mode/2up</w:t>
              </w:r>
            </w:hyperlink>
            <w:hyperlink r:id="rId11">
              <w:r w:rsidRPr="000E646D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spacing w:after="0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Mukherjea, A, (2011), My Vampire Boyfriend: Postfeminism, “Perfect” Masculinity, and the </w:t>
            </w:r>
          </w:p>
          <w:p w:rsidR="00BE572C" w:rsidRPr="000E646D" w:rsidRDefault="000E646D">
            <w:pPr>
              <w:spacing w:after="0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Contemporary Appeal of Paranormal Romance [w:] Studies in Popular Culture, 33.2 (red.) Rhonda V. </w:t>
            </w:r>
          </w:p>
          <w:p w:rsidR="00BE572C" w:rsidRPr="000E646D" w:rsidRDefault="000E646D">
            <w:pPr>
              <w:spacing w:after="0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Wilcox, Popular Culture Association in </w:t>
            </w:r>
          </w:p>
          <w:p w:rsidR="00BE572C" w:rsidRPr="000E646D" w:rsidRDefault="000E646D">
            <w:pPr>
              <w:spacing w:after="0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The South (bmw) https://www.jstor.org/stable/23416381 (free access)  </w:t>
            </w:r>
          </w:p>
          <w:p w:rsidR="00BE572C" w:rsidRDefault="000E646D">
            <w:pPr>
              <w:spacing w:after="30" w:line="268" w:lineRule="auto"/>
            </w:pPr>
            <w:r>
              <w:rPr>
                <w:rFonts w:ascii="Times New Roman" w:eastAsia="Times New Roman" w:hAnsi="Times New Roman" w:cs="Times New Roman"/>
              </w:rPr>
              <w:t>Utrio K. (1998) Córki Ewy. Historia kobiety europejskiej, przeł. Mariola Gąsiorowska-Siudzińska, Warszawa, Wydawnictwo 69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0"/>
            </w:pPr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https://www.europeana.eu/pl/womens</w:t>
              </w:r>
            </w:hyperlink>
            <w:hyperlink r:id="rId13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history</w:t>
              </w:r>
            </w:hyperlink>
            <w:hyperlink r:id="rId15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materiały analityczne (historia) </w:t>
            </w:r>
          </w:p>
          <w:p w:rsidR="00BE572C" w:rsidRDefault="000E646D">
            <w:pPr>
              <w:spacing w:after="223"/>
            </w:pPr>
            <w:r>
              <w:rPr>
                <w:rFonts w:ascii="Arial" w:eastAsia="Arial" w:hAnsi="Arial" w:cs="Arial"/>
                <w:b/>
                <w:sz w:val="20"/>
              </w:rPr>
              <w:t>Seria: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 xml:space="preserve"> Humanistyka i płeć</w:t>
            </w:r>
            <w:r>
              <w:rPr>
                <w:rFonts w:ascii="Arial" w:eastAsia="Arial" w:hAnsi="Arial" w:cs="Arial"/>
                <w:b/>
                <w:sz w:val="20"/>
              </w:rPr>
              <w:t>:, T.1-3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spacing w:after="0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Studia kobiece z psychologii, filozofii i historii (1995); </w:t>
            </w:r>
          </w:p>
          <w:p w:rsidR="00BE572C" w:rsidRDefault="000E646D">
            <w:pPr>
              <w:numPr>
                <w:ilvl w:val="0"/>
                <w:numId w:val="2"/>
              </w:numPr>
              <w:spacing w:after="0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II: Kobiety w poznaniu naukowym wczoraj i dziś (1997) </w:t>
            </w:r>
          </w:p>
          <w:p w:rsidR="00BE572C" w:rsidRDefault="000E646D">
            <w:pPr>
              <w:numPr>
                <w:ilvl w:val="0"/>
                <w:numId w:val="2"/>
              </w:numPr>
              <w:spacing w:after="0"/>
              <w:ind w:hanging="360"/>
            </w:pPr>
            <w:r>
              <w:rPr>
                <w:rFonts w:ascii="Arial" w:eastAsia="Arial" w:hAnsi="Arial" w:cs="Arial"/>
                <w:sz w:val="20"/>
              </w:rPr>
              <w:t>tom III: Publiczna przestrzeń kobiet. Obraz</w:t>
            </w:r>
            <w:r>
              <w:rPr>
                <w:rFonts w:ascii="Arial" w:eastAsia="Arial" w:hAnsi="Arial" w:cs="Arial"/>
                <w:sz w:val="20"/>
              </w:rPr>
              <w:t xml:space="preserve">y dawne I nowe (1999) </w:t>
            </w:r>
          </w:p>
          <w:p w:rsidR="00BE572C" w:rsidRDefault="000E646D">
            <w:pPr>
              <w:spacing w:after="23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222"/>
            </w:pPr>
            <w:r>
              <w:rPr>
                <w:rFonts w:ascii="Arial" w:eastAsia="Arial" w:hAnsi="Arial" w:cs="Arial"/>
                <w:b/>
                <w:sz w:val="20"/>
              </w:rPr>
              <w:t xml:space="preserve">Seria: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Kobieta i...</w:t>
            </w:r>
            <w:r>
              <w:rPr>
                <w:rFonts w:ascii="Arial" w:eastAsia="Arial" w:hAnsi="Arial" w:cs="Arial"/>
                <w:b/>
                <w:sz w:val="20"/>
              </w:rPr>
              <w:t>: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spacing w:after="0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</w:t>
            </w:r>
            <w:r>
              <w:rPr>
                <w:rFonts w:ascii="Arial" w:eastAsia="Arial" w:hAnsi="Arial" w:cs="Arial"/>
                <w:i/>
                <w:sz w:val="20"/>
              </w:rPr>
              <w:t>Kobieta i społeczeństwo na ziemiach polskich w XIX wieku</w:t>
            </w:r>
            <w:r>
              <w:rPr>
                <w:rFonts w:ascii="Arial" w:eastAsia="Arial" w:hAnsi="Arial" w:cs="Arial"/>
                <w:sz w:val="20"/>
              </w:rPr>
              <w:t xml:space="preserve"> (1990);</w:t>
            </w:r>
            <w:r>
              <w:t xml:space="preserve"> </w:t>
            </w:r>
          </w:p>
        </w:tc>
      </w:tr>
      <w:tr w:rsidR="00BE572C">
        <w:trPr>
          <w:trHeight w:val="27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II: </w:t>
            </w:r>
            <w:r>
              <w:rPr>
                <w:rFonts w:ascii="Arial" w:eastAsia="Arial" w:hAnsi="Arial" w:cs="Arial"/>
                <w:i/>
                <w:sz w:val="20"/>
              </w:rPr>
              <w:t>Kobieta i edukacja na ziemiach polskich w XIX i XX w.</w:t>
            </w:r>
            <w:r>
              <w:rPr>
                <w:rFonts w:ascii="Arial" w:eastAsia="Arial" w:hAnsi="Arial" w:cs="Arial"/>
                <w:sz w:val="20"/>
              </w:rPr>
              <w:t>, części 1–2 (1992);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III: </w:t>
            </w:r>
            <w:r>
              <w:rPr>
                <w:rFonts w:ascii="Arial" w:eastAsia="Arial" w:hAnsi="Arial" w:cs="Arial"/>
                <w:i/>
                <w:sz w:val="20"/>
              </w:rPr>
              <w:t>Kobieta i świat polityki</w:t>
            </w:r>
            <w:r>
              <w:rPr>
                <w:rFonts w:ascii="Arial" w:eastAsia="Arial" w:hAnsi="Arial" w:cs="Arial"/>
                <w:sz w:val="20"/>
              </w:rPr>
              <w:t>, części 1–</w:t>
            </w:r>
            <w:r>
              <w:rPr>
                <w:rFonts w:ascii="Arial" w:eastAsia="Arial" w:hAnsi="Arial" w:cs="Arial"/>
                <w:sz w:val="20"/>
              </w:rPr>
              <w:t>2 [XIX i XX w.] (1994–1996);</w:t>
            </w:r>
            <w:r>
              <w:t xml:space="preserve"> </w:t>
            </w:r>
          </w:p>
        </w:tc>
      </w:tr>
      <w:tr w:rsidR="00BE572C">
        <w:trPr>
          <w:trHeight w:val="47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2"/>
            </w:pPr>
            <w:r>
              <w:rPr>
                <w:rFonts w:ascii="Arial" w:eastAsia="Arial" w:hAnsi="Arial" w:cs="Arial"/>
                <w:sz w:val="20"/>
              </w:rPr>
              <w:t xml:space="preserve">tom IV: </w:t>
            </w:r>
            <w:r>
              <w:rPr>
                <w:rFonts w:ascii="Arial" w:eastAsia="Arial" w:hAnsi="Arial" w:cs="Arial"/>
                <w:i/>
                <w:sz w:val="20"/>
              </w:rPr>
              <w:t>Kobieta i kultura – wśród twórców kultury intelektualnej i artystycznej (wiek XIX–XX)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(1996);</w:t>
            </w:r>
            <w:r>
              <w:t xml:space="preserve"> </w:t>
            </w:r>
          </w:p>
        </w:tc>
      </w:tr>
      <w:tr w:rsidR="00BE572C">
        <w:trPr>
          <w:trHeight w:val="24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V: </w:t>
            </w:r>
            <w:r>
              <w:rPr>
                <w:rFonts w:ascii="Arial" w:eastAsia="Arial" w:hAnsi="Arial" w:cs="Arial"/>
                <w:i/>
                <w:sz w:val="20"/>
              </w:rPr>
              <w:t>Kobieta i kultura życia codziennego. Wiek XIX i XX</w:t>
            </w:r>
            <w:r>
              <w:rPr>
                <w:rFonts w:ascii="Arial" w:eastAsia="Arial" w:hAnsi="Arial" w:cs="Arial"/>
                <w:sz w:val="20"/>
              </w:rPr>
              <w:t xml:space="preserve"> (1997);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VI: </w:t>
            </w:r>
            <w:r>
              <w:rPr>
                <w:rFonts w:ascii="Arial" w:eastAsia="Arial" w:hAnsi="Arial" w:cs="Arial"/>
                <w:i/>
                <w:sz w:val="20"/>
              </w:rPr>
              <w:t>Kobieta i praca w XIX i XX w.</w:t>
            </w:r>
            <w:r>
              <w:rPr>
                <w:rFonts w:ascii="Arial" w:eastAsia="Arial" w:hAnsi="Arial" w:cs="Arial"/>
                <w:sz w:val="20"/>
              </w:rPr>
              <w:t xml:space="preserve"> (2000);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VII: </w:t>
            </w:r>
            <w:r>
              <w:rPr>
                <w:rFonts w:ascii="Arial" w:eastAsia="Arial" w:hAnsi="Arial" w:cs="Arial"/>
                <w:i/>
                <w:sz w:val="20"/>
              </w:rPr>
              <w:t>Kobieta i kultura czasu wolnego (XIX i XX w.)</w:t>
            </w:r>
            <w:r>
              <w:rPr>
                <w:rFonts w:ascii="Arial" w:eastAsia="Arial" w:hAnsi="Arial" w:cs="Arial"/>
                <w:sz w:val="20"/>
              </w:rPr>
              <w:t xml:space="preserve"> (2001);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tom VIII: </w:t>
            </w:r>
            <w:r>
              <w:rPr>
                <w:rFonts w:ascii="Arial" w:eastAsia="Arial" w:hAnsi="Arial" w:cs="Arial"/>
                <w:i/>
                <w:sz w:val="20"/>
              </w:rPr>
              <w:t>Kobieta i małżeństwo. Wiek XIX–XX</w:t>
            </w:r>
            <w:r>
              <w:rPr>
                <w:rFonts w:ascii="Arial" w:eastAsia="Arial" w:hAnsi="Arial" w:cs="Arial"/>
                <w:sz w:val="20"/>
              </w:rPr>
              <w:t xml:space="preserve"> (2004); </w:t>
            </w:r>
          </w:p>
        </w:tc>
      </w:tr>
      <w:tr w:rsidR="00BE572C">
        <w:trPr>
          <w:trHeight w:val="468"/>
        </w:trPr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E572C" w:rsidRDefault="000E646D">
            <w:pPr>
              <w:spacing w:after="0"/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0"/>
              <w:ind w:left="106"/>
            </w:pPr>
            <w:r>
              <w:rPr>
                <w:rFonts w:ascii="Corbel" w:eastAsia="Corbel" w:hAnsi="Corbel" w:cs="Corbel"/>
                <w:i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tom IX: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Kobieta i rewolucja obyczjowa</w:t>
            </w:r>
            <w:r>
              <w:rPr>
                <w:rFonts w:ascii="Arial" w:eastAsia="Arial" w:hAnsi="Arial" w:cs="Arial"/>
                <w:sz w:val="20"/>
              </w:rPr>
              <w:t xml:space="preserve"> (2006)</w:t>
            </w:r>
            <w: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370" w:hanging="10"/>
      </w:pPr>
      <w:r>
        <w:rPr>
          <w:rFonts w:ascii="Corbel" w:eastAsia="Corbel" w:hAnsi="Corbel" w:cs="Corbel"/>
          <w:sz w:val="24"/>
        </w:rPr>
        <w:lastRenderedPageBreak/>
        <w:t xml:space="preserve">Akceptacja Kierownika Jednostki lub osoby upoważnionej </w:t>
      </w:r>
    </w:p>
    <w:sectPr w:rsidR="00BE572C">
      <w:pgSz w:w="11906" w:h="16838"/>
      <w:pgMar w:top="1138" w:right="1137" w:bottom="122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D13CA"/>
    <w:multiLevelType w:val="hybridMultilevel"/>
    <w:tmpl w:val="CD9C54DA"/>
    <w:lvl w:ilvl="0" w:tplc="9C2E30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14A1B0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9EBEC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461FFE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09F98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0327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387688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B4CC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C45DC2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056A51"/>
    <w:multiLevelType w:val="hybridMultilevel"/>
    <w:tmpl w:val="DB8AD4D6"/>
    <w:lvl w:ilvl="0" w:tplc="B57029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B6E2E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E8749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4072E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78B8C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80C1D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8E5FB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9E030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72C"/>
    <w:rsid w:val="000E646D"/>
    <w:rsid w:val="00BE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0454"/>
  <w15:docId w15:val="{C4FB961B-9A30-4EC2-9B2F-4ECFEF7A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1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1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utas.edu.au/8453/" TargetMode="External"/><Relationship Id="rId13" Type="http://schemas.openxmlformats.org/officeDocument/2006/relationships/hyperlink" Target="https://www.europeana.eu/pl/womens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ademia.edu/1324360/Powr%F3t_kobiet_do_historii_niedoko&#324;czony_projekt" TargetMode="External"/><Relationship Id="rId12" Type="http://schemas.openxmlformats.org/officeDocument/2006/relationships/hyperlink" Target="https://www.europeana.eu/pl/womens-histo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cademia.edu/1324360/Powr%F3t_kobiet_do_historii_niedoko&#324;czony_projekt" TargetMode="External"/><Relationship Id="rId11" Type="http://schemas.openxmlformats.org/officeDocument/2006/relationships/hyperlink" Target="https://archive.org/details/comingofageinsam00mead/page/n13/mode/2up" TargetMode="External"/><Relationship Id="rId5" Type="http://schemas.openxmlformats.org/officeDocument/2006/relationships/hyperlink" Target="https://www.academia.edu/1324360/Powr%F3t_kobiet_do_historii_niedoko&#324;czony_projekt" TargetMode="External"/><Relationship Id="rId15" Type="http://schemas.openxmlformats.org/officeDocument/2006/relationships/hyperlink" Target="https://www.europeana.eu/pl/womens-history" TargetMode="External"/><Relationship Id="rId10" Type="http://schemas.openxmlformats.org/officeDocument/2006/relationships/hyperlink" Target="https://archive.org/details/comingofageinsam00mead/page/n13/mode/2u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ints.utas.edu.au/8453/" TargetMode="External"/><Relationship Id="rId14" Type="http://schemas.openxmlformats.org/officeDocument/2006/relationships/hyperlink" Target="https://www.europeana.eu/pl/womens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1144</Words>
  <Characters>6868</Characters>
  <Application>Microsoft Office Word</Application>
  <DocSecurity>0</DocSecurity>
  <Lines>57</Lines>
  <Paragraphs>15</Paragraphs>
  <ScaleCrop>false</ScaleCrop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Użytkownik systemu Windows</cp:lastModifiedBy>
  <cp:revision>3</cp:revision>
  <dcterms:created xsi:type="dcterms:W3CDTF">2024-08-08T12:11:00Z</dcterms:created>
  <dcterms:modified xsi:type="dcterms:W3CDTF">2024-08-08T12:11:00Z</dcterms:modified>
</cp:coreProperties>
</file>